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附件5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中国新闻奖系列（连续、组合）报道作品完整目录</w:t>
      </w:r>
    </w:p>
    <w:tbl>
      <w:tblPr>
        <w:tblStyle w:val="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68"/>
        <w:gridCol w:w="2601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序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号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体裁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1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此表可从中国记协网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instrText xml:space="preserve"> HYPERLINK "http://</w:instrTex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instrText xml:space="preserve">www.zgjx.cn</w:instrTex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instrText xml:space="preserve">" </w:instrTex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3"/>
                <w:rFonts w:hint="eastAsia" w:ascii="楷体" w:hAnsi="楷体" w:eastAsia="楷体"/>
                <w:color w:val="000000"/>
                <w:sz w:val="28"/>
                <w:szCs w:val="28"/>
                <w:u w:val="none"/>
              </w:rPr>
              <w:t>www.zgjx.cn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楷体" w:hAnsi="楷体" w:eastAsia="楷体"/>
                <w:sz w:val="28"/>
              </w:rPr>
              <w:t>下载。</w:t>
            </w:r>
          </w:p>
          <w:p>
            <w:pPr>
              <w:spacing w:line="380" w:lineRule="exac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1.附在系列（连续、组合）报道参评作品推荐表后。</w:t>
            </w:r>
          </w:p>
          <w:p>
            <w:pPr>
              <w:spacing w:line="380" w:lineRule="exac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2.填报作品按发表时间排序。</w:t>
            </w:r>
          </w:p>
          <w:p>
            <w:pPr>
              <w:snapToGrid w:val="0"/>
              <w:spacing w:line="380" w:lineRule="exac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3.3篇代表作必须从开头、中间、结尾三部分中各选1篇，并在“备注”栏内注明“代表作”字样。</w:t>
            </w:r>
          </w:p>
          <w:p>
            <w:pPr>
              <w:snapToGrid w:val="0"/>
              <w:spacing w:line="38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4.广播、电视作品在“刊播日期”栏内填报播出日期及时间；在“刊播版面”栏内填报作品刊播频道、频率和栏目名称。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小笨</cp:lastModifiedBy>
  <dcterms:modified xsi:type="dcterms:W3CDTF">2018-02-28T09:00:14Z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